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498" w:rsidRPr="00145F91" w:rsidRDefault="00C00498" w:rsidP="00C004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45F91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00498" w:rsidRPr="00145F91" w:rsidRDefault="00C00498" w:rsidP="00C004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45F91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00498" w:rsidRPr="00145F91" w:rsidRDefault="00C00498" w:rsidP="00C004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45F91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00498" w:rsidRPr="00145F91" w:rsidRDefault="00C00498" w:rsidP="00C0049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45F91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00498" w:rsidRPr="00145F91" w:rsidRDefault="00C00498" w:rsidP="00C0049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00498" w:rsidRPr="00145F91" w:rsidRDefault="00C00498" w:rsidP="00C0049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B3847" w:rsidRPr="00145F91" w:rsidRDefault="000B3847" w:rsidP="000B384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5F91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99042F" w:rsidRPr="00145F91" w:rsidRDefault="0099042F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99042F" w:rsidRPr="00145F91" w:rsidRDefault="0099042F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45F91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99042F" w:rsidRPr="00145F91" w:rsidRDefault="0099042F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145F91">
        <w:rPr>
          <w:sz w:val="24"/>
        </w:rPr>
        <w:t xml:space="preserve">Название: Рак околощитовидных желез. </w:t>
      </w:r>
    </w:p>
    <w:p w:rsidR="00145F91" w:rsidRPr="00145F91" w:rsidRDefault="0099042F" w:rsidP="00145F91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45F91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145F91" w:rsidRPr="00145F91">
        <w:rPr>
          <w:rFonts w:ascii="Times New Roman" w:hAnsi="Times New Roman"/>
          <w:sz w:val="24"/>
          <w:szCs w:val="24"/>
        </w:rPr>
        <w:t>10</w:t>
      </w:r>
      <w:r w:rsidRPr="00145F91">
        <w:rPr>
          <w:rFonts w:ascii="Times New Roman" w:hAnsi="Times New Roman"/>
          <w:sz w:val="24"/>
          <w:szCs w:val="24"/>
        </w:rPr>
        <w:t>.3.</w:t>
      </w:r>
    </w:p>
    <w:p w:rsidR="00145F91" w:rsidRPr="00145F91" w:rsidRDefault="0099042F" w:rsidP="00145F91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45F91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145F91" w:rsidRPr="00145F91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145F91">
        <w:rPr>
          <w:rFonts w:ascii="Times New Roman" w:hAnsi="Times New Roman"/>
          <w:sz w:val="24"/>
          <w:szCs w:val="24"/>
        </w:rPr>
        <w:t>«</w:t>
      </w:r>
      <w:r w:rsidR="00145F91" w:rsidRPr="00145F91">
        <w:rPr>
          <w:rFonts w:ascii="Times New Roman" w:hAnsi="Times New Roman"/>
          <w:sz w:val="24"/>
          <w:szCs w:val="24"/>
        </w:rPr>
        <w:t>Э</w:t>
      </w:r>
      <w:r w:rsidRPr="00145F91">
        <w:rPr>
          <w:rFonts w:ascii="Times New Roman" w:hAnsi="Times New Roman"/>
          <w:sz w:val="24"/>
          <w:szCs w:val="24"/>
        </w:rPr>
        <w:t>ндокринология»</w:t>
      </w:r>
      <w:r w:rsidR="00145F91" w:rsidRPr="00145F91">
        <w:rPr>
          <w:rFonts w:ascii="Times New Roman" w:hAnsi="Times New Roman"/>
          <w:sz w:val="24"/>
          <w:szCs w:val="24"/>
        </w:rPr>
        <w:t>.</w:t>
      </w:r>
    </w:p>
    <w:p w:rsidR="0099042F" w:rsidRPr="00145F91" w:rsidRDefault="0099042F" w:rsidP="00145F91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45F91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145F91" w:rsidRPr="00145F9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99042F" w:rsidRPr="00145F91" w:rsidRDefault="0099042F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45F91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99042F" w:rsidRPr="00145F91" w:rsidRDefault="0099042F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145F91">
        <w:rPr>
          <w:sz w:val="24"/>
        </w:rPr>
        <w:t>Цель: рассмотреть и обсудить современные данные по раку околощитовидных желез.</w:t>
      </w:r>
    </w:p>
    <w:p w:rsidR="0099042F" w:rsidRPr="00145F91" w:rsidRDefault="0099042F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145F91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145F91">
        <w:rPr>
          <w:rFonts w:ascii="Times New Roman" w:hAnsi="Times New Roman"/>
          <w:sz w:val="24"/>
          <w:szCs w:val="24"/>
        </w:rPr>
        <w:t xml:space="preserve"> </w:t>
      </w:r>
    </w:p>
    <w:p w:rsidR="00145F91" w:rsidRPr="00145F91" w:rsidRDefault="0099042F" w:rsidP="00145F91">
      <w:pPr>
        <w:pStyle w:val="a8"/>
        <w:ind w:left="0"/>
        <w:rPr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color w:val="000000"/>
          <w:spacing w:val="-1"/>
          <w:sz w:val="24"/>
          <w:szCs w:val="24"/>
        </w:rPr>
        <w:t>Классификация нов</w:t>
      </w:r>
      <w:r w:rsidR="00145F91" w:rsidRPr="00145F91">
        <w:rPr>
          <w:rFonts w:ascii="Times New Roman" w:hAnsi="Times New Roman"/>
          <w:color w:val="000000"/>
          <w:spacing w:val="-1"/>
          <w:sz w:val="24"/>
          <w:szCs w:val="24"/>
        </w:rPr>
        <w:t>ообразований п</w:t>
      </w:r>
      <w:r w:rsidRPr="00145F91">
        <w:rPr>
          <w:rFonts w:ascii="Times New Roman" w:hAnsi="Times New Roman"/>
          <w:color w:val="000000"/>
          <w:spacing w:val="-1"/>
          <w:sz w:val="24"/>
          <w:szCs w:val="24"/>
        </w:rPr>
        <w:t xml:space="preserve">аращитовидных желез. Патофизиологические особенности. </w:t>
      </w:r>
      <w:r w:rsidRPr="00145F91">
        <w:rPr>
          <w:rFonts w:ascii="Times New Roman" w:hAnsi="Times New Roman"/>
          <w:color w:val="000000"/>
          <w:spacing w:val="-2"/>
          <w:sz w:val="24"/>
          <w:szCs w:val="24"/>
        </w:rPr>
        <w:t xml:space="preserve">Клиника. Гиперкальциемический синдром. </w:t>
      </w:r>
      <w:r w:rsidRPr="00145F91">
        <w:rPr>
          <w:rFonts w:ascii="Times New Roman" w:hAnsi="Times New Roman"/>
          <w:color w:val="000000"/>
          <w:spacing w:val="-3"/>
          <w:sz w:val="24"/>
          <w:szCs w:val="24"/>
        </w:rPr>
        <w:t xml:space="preserve">Нефролитиаз. </w:t>
      </w:r>
      <w:r w:rsidRPr="00145F91">
        <w:rPr>
          <w:rFonts w:ascii="Times New Roman" w:hAnsi="Times New Roman"/>
          <w:color w:val="000000"/>
          <w:spacing w:val="-2"/>
          <w:sz w:val="24"/>
          <w:szCs w:val="24"/>
        </w:rPr>
        <w:t>Гиперпара</w:t>
      </w:r>
      <w:r w:rsidR="00145F91" w:rsidRPr="00145F91">
        <w:rPr>
          <w:rFonts w:ascii="Times New Roman" w:hAnsi="Times New Roman"/>
          <w:color w:val="000000"/>
          <w:spacing w:val="-2"/>
          <w:sz w:val="24"/>
          <w:szCs w:val="24"/>
        </w:rPr>
        <w:t>тиреоидная остеодистрофия и др.</w:t>
      </w:r>
      <w:r w:rsidRPr="00145F91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145F91">
        <w:rPr>
          <w:rFonts w:ascii="Times New Roman" w:hAnsi="Times New Roman"/>
          <w:color w:val="000000"/>
          <w:spacing w:val="-1"/>
          <w:sz w:val="24"/>
          <w:szCs w:val="24"/>
        </w:rPr>
        <w:t xml:space="preserve">Осложнения (инвазия опухоли и др.). </w:t>
      </w:r>
      <w:r w:rsidRPr="00145F91">
        <w:rPr>
          <w:rFonts w:ascii="Times New Roman" w:hAnsi="Times New Roman"/>
          <w:color w:val="000000"/>
          <w:spacing w:val="-5"/>
          <w:sz w:val="24"/>
          <w:szCs w:val="24"/>
        </w:rPr>
        <w:t xml:space="preserve">Диагностика и дифференциальная диагностика. </w:t>
      </w:r>
      <w:r w:rsidRPr="00145F91">
        <w:rPr>
          <w:rFonts w:ascii="Times New Roman" w:hAnsi="Times New Roman"/>
          <w:color w:val="000000"/>
          <w:spacing w:val="-1"/>
          <w:sz w:val="24"/>
          <w:szCs w:val="24"/>
        </w:rPr>
        <w:t xml:space="preserve">Морфологические критерии. </w:t>
      </w:r>
      <w:r w:rsidRPr="00145F91">
        <w:rPr>
          <w:rFonts w:ascii="Times New Roman" w:hAnsi="Times New Roman"/>
          <w:color w:val="000000"/>
          <w:spacing w:val="-2"/>
          <w:sz w:val="24"/>
          <w:szCs w:val="24"/>
        </w:rPr>
        <w:t xml:space="preserve">Гистологические признаки. </w:t>
      </w:r>
      <w:r w:rsidRPr="00145F91">
        <w:rPr>
          <w:rFonts w:ascii="Times New Roman" w:hAnsi="Times New Roman"/>
          <w:color w:val="000000"/>
          <w:spacing w:val="-1"/>
          <w:sz w:val="24"/>
          <w:szCs w:val="24"/>
        </w:rPr>
        <w:t xml:space="preserve">Лабораторные изменения. Визуализация новообразования и метастазов. Дифференциальная диагностика с другими патологиями области шеи. </w:t>
      </w:r>
      <w:r w:rsidRPr="00145F91">
        <w:rPr>
          <w:rFonts w:ascii="Times New Roman" w:hAnsi="Times New Roman"/>
          <w:color w:val="000000"/>
          <w:spacing w:val="-2"/>
          <w:sz w:val="24"/>
          <w:szCs w:val="24"/>
        </w:rPr>
        <w:t xml:space="preserve">Лечение. </w:t>
      </w:r>
      <w:r w:rsidRPr="00145F91">
        <w:rPr>
          <w:rFonts w:ascii="Times New Roman" w:hAnsi="Times New Roman"/>
          <w:color w:val="000000"/>
          <w:spacing w:val="-1"/>
          <w:sz w:val="24"/>
          <w:szCs w:val="24"/>
        </w:rPr>
        <w:t xml:space="preserve">Хирургическое лечение (показания, пред- и </w:t>
      </w:r>
      <w:r w:rsidRPr="00145F91">
        <w:rPr>
          <w:rFonts w:ascii="Times New Roman" w:hAnsi="Times New Roman"/>
          <w:color w:val="000000"/>
          <w:sz w:val="24"/>
          <w:szCs w:val="24"/>
        </w:rPr>
        <w:t xml:space="preserve">послеоперационное ведение). </w:t>
      </w:r>
      <w:r w:rsidRPr="00145F91">
        <w:rPr>
          <w:rFonts w:ascii="Times New Roman" w:hAnsi="Times New Roman"/>
          <w:color w:val="000000"/>
          <w:spacing w:val="-1"/>
          <w:sz w:val="24"/>
          <w:szCs w:val="24"/>
        </w:rPr>
        <w:t>Профи</w:t>
      </w:r>
      <w:r w:rsidR="00145F91" w:rsidRPr="00145F91">
        <w:rPr>
          <w:rFonts w:ascii="Times New Roman" w:hAnsi="Times New Roman"/>
          <w:color w:val="000000"/>
          <w:spacing w:val="-1"/>
          <w:sz w:val="24"/>
          <w:szCs w:val="24"/>
        </w:rPr>
        <w:t>лактика послеоперационной гипер</w:t>
      </w:r>
      <w:r w:rsidRPr="00145F91">
        <w:rPr>
          <w:rFonts w:ascii="Times New Roman" w:hAnsi="Times New Roman"/>
          <w:color w:val="000000"/>
          <w:spacing w:val="-1"/>
          <w:sz w:val="24"/>
          <w:szCs w:val="24"/>
        </w:rPr>
        <w:t>кальциемии. Медикаментозное лечение в послеопераци</w:t>
      </w:r>
      <w:r w:rsidRPr="00145F9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145F91">
        <w:rPr>
          <w:rFonts w:ascii="Times New Roman" w:hAnsi="Times New Roman"/>
          <w:color w:val="000000"/>
          <w:sz w:val="24"/>
          <w:szCs w:val="24"/>
        </w:rPr>
        <w:t xml:space="preserve">онном периоде. </w:t>
      </w:r>
      <w:r w:rsidRPr="00145F91">
        <w:rPr>
          <w:rFonts w:ascii="Times New Roman" w:hAnsi="Times New Roman"/>
          <w:color w:val="000000"/>
          <w:spacing w:val="-1"/>
          <w:sz w:val="24"/>
          <w:szCs w:val="24"/>
        </w:rPr>
        <w:t>Прогноз и диспансеризация. Медико-социальная экспертиза трудоспо</w:t>
      </w:r>
      <w:r w:rsidRPr="00145F9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145F91">
        <w:rPr>
          <w:rFonts w:ascii="Times New Roman" w:hAnsi="Times New Roman"/>
          <w:color w:val="000000"/>
          <w:sz w:val="24"/>
          <w:szCs w:val="24"/>
        </w:rPr>
        <w:t xml:space="preserve">собности и реабилитация. </w:t>
      </w:r>
      <w:r w:rsidRPr="00145F91">
        <w:rPr>
          <w:rFonts w:ascii="Times New Roman" w:hAnsi="Times New Roman"/>
          <w:color w:val="000000"/>
          <w:spacing w:val="-1"/>
          <w:sz w:val="24"/>
          <w:szCs w:val="24"/>
        </w:rPr>
        <w:t>Зависимость прогноза от тяжести заболева</w:t>
      </w:r>
      <w:r w:rsidRPr="00145F91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ния, объема хирургического вмешательства </w:t>
      </w:r>
      <w:r w:rsidRPr="00145F91">
        <w:rPr>
          <w:rFonts w:ascii="Times New Roman" w:hAnsi="Times New Roman"/>
          <w:color w:val="000000"/>
          <w:sz w:val="24"/>
          <w:szCs w:val="24"/>
        </w:rPr>
        <w:t>и адекватности терапии.</w:t>
      </w:r>
    </w:p>
    <w:p w:rsidR="0099042F" w:rsidRPr="00145F91" w:rsidRDefault="0099042F" w:rsidP="00145F91">
      <w:pPr>
        <w:pStyle w:val="a8"/>
        <w:numPr>
          <w:ilvl w:val="0"/>
          <w:numId w:val="9"/>
        </w:numPr>
        <w:rPr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  <w:r w:rsidR="00145F91" w:rsidRPr="00145F91">
        <w:rPr>
          <w:rFonts w:ascii="Times New Roman" w:hAnsi="Times New Roman"/>
          <w:color w:val="000000"/>
          <w:spacing w:val="-6"/>
          <w:sz w:val="24"/>
          <w:szCs w:val="24"/>
        </w:rPr>
        <w:t>Рак околощитовидных желез.</w:t>
      </w:r>
    </w:p>
    <w:p w:rsidR="0099042F" w:rsidRPr="00145F91" w:rsidRDefault="0099042F" w:rsidP="00DF5755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5F9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99042F" w:rsidRPr="00145F91" w:rsidRDefault="0099042F" w:rsidP="00145F91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5F91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9042F" w:rsidRPr="00145F91" w:rsidRDefault="0099042F" w:rsidP="00DF5755">
      <w:pPr>
        <w:pStyle w:val="a8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5F91">
        <w:rPr>
          <w:rFonts w:ascii="Times New Roman" w:hAnsi="Times New Roman"/>
          <w:sz w:val="24"/>
          <w:szCs w:val="24"/>
        </w:rPr>
        <w:t> Аметов  А.С.Избранные лекции по эндокринологии. – М.: ООО «МИА», 2009. – 496 с.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color w:val="000000"/>
          <w:sz w:val="24"/>
          <w:szCs w:val="24"/>
        </w:rPr>
        <w:lastRenderedPageBreak/>
        <w:t>Болезни щитовидной и околощитовидной желез: диагностика, профилактика, лечение: научно-популярное издание/ В. Д. Казьмин. - 2-е изд., перераб. и доп.. - Ростов н/Д: Феникс, 2009. - 248 с.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5F91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color w:val="000000"/>
          <w:sz w:val="24"/>
          <w:szCs w:val="24"/>
        </w:rPr>
        <w:t>Диффузный токсический зоб: комплексная диагностика, консервативная терапия, хирургическое лечение/ Е. М. Трунин; Санкт-Петербургская акад. последиплом. образования (СПб.). - СПб.: ЭЛБИ-СПб, 2006. - 181 с.</w:t>
      </w:r>
    </w:p>
    <w:p w:rsidR="0099042F" w:rsidRPr="00145F91" w:rsidRDefault="0099042F" w:rsidP="00145F91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color w:val="000000"/>
          <w:sz w:val="24"/>
          <w:szCs w:val="24"/>
        </w:rPr>
        <w:t>Диффузный токсический зоб: комплексная диагностика, консервативная терапия, хирургическое лечение/ Е. М. Трунин; Санкт-Петербургская акад. последиплом. образования (СПб.). - СПб.: ЭЛБИ-СПб, 2006. - 181 с.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145F9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145F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145F91">
        <w:rPr>
          <w:rFonts w:ascii="Times New Roman" w:hAnsi="Times New Roman"/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145F9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145F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145F91">
        <w:rPr>
          <w:rFonts w:ascii="Times New Roman" w:hAnsi="Times New Roman"/>
          <w:color w:val="000000"/>
          <w:sz w:val="24"/>
          <w:szCs w:val="24"/>
        </w:rPr>
        <w:t>: учебное пособие/ пер. с англ. под ред. Г. А. Мельниченко. - 2-е изд. - М.: Гэотар Медиа, 2008. - 117 с.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145F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45F91">
        <w:rPr>
          <w:rFonts w:ascii="Times New Roman" w:hAnsi="Times New Roman"/>
          <w:color w:val="000000"/>
          <w:sz w:val="24"/>
          <w:szCs w:val="24"/>
        </w:rPr>
        <w:t>я: учебное пособие для системы послевуз. образования врачей/ А. М. Мкртумян, А. А. Нелаева. - М.: Гэотар Медиа, 2010. - 126 с. 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145F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45F91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145F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45F91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color w:val="000000"/>
          <w:sz w:val="24"/>
          <w:szCs w:val="24"/>
        </w:rPr>
        <w:t>Патофизиология эндокринной системы: моногр</w:t>
      </w:r>
      <w:r w:rsidR="00145F91" w:rsidRPr="00145F91">
        <w:rPr>
          <w:rFonts w:ascii="Times New Roman" w:hAnsi="Times New Roman"/>
          <w:color w:val="000000"/>
          <w:sz w:val="24"/>
          <w:szCs w:val="24"/>
        </w:rPr>
        <w:t>афия/ В. М. Кэттайл, Р. А. Арки</w:t>
      </w:r>
      <w:r w:rsidRPr="00145F91">
        <w:rPr>
          <w:rFonts w:ascii="Times New Roman" w:hAnsi="Times New Roman"/>
          <w:color w:val="000000"/>
          <w:sz w:val="24"/>
          <w:szCs w:val="24"/>
        </w:rPr>
        <w:t>; под общ. ред. Ю. В. Наточина. - М.: БИНОМ, 2007. - 335 с.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sz w:val="24"/>
          <w:szCs w:val="24"/>
        </w:rPr>
        <w:t>Пинский С.Б., Калинин А.П., Белобородов В.А. Диагностика заболеваний щитовидной железы. – М., Медицина, 2005. – 341 с.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45F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145F91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145F9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45F91">
        <w:rPr>
          <w:rFonts w:ascii="Times New Roman" w:hAnsi="Times New Roman"/>
          <w:color w:val="000000"/>
          <w:sz w:val="24"/>
          <w:szCs w:val="24"/>
        </w:rPr>
        <w:t>И</w:t>
      </w:r>
      <w:r w:rsidRPr="00145F9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45F91">
        <w:rPr>
          <w:rFonts w:ascii="Times New Roman" w:hAnsi="Times New Roman"/>
          <w:color w:val="000000"/>
          <w:sz w:val="24"/>
          <w:szCs w:val="24"/>
        </w:rPr>
        <w:t>Дедова</w:t>
      </w:r>
      <w:r w:rsidRPr="00145F9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145F91">
        <w:rPr>
          <w:rFonts w:ascii="Times New Roman" w:hAnsi="Times New Roman"/>
          <w:color w:val="000000"/>
          <w:sz w:val="24"/>
          <w:szCs w:val="24"/>
        </w:rPr>
        <w:t>Г</w:t>
      </w:r>
      <w:r w:rsidRPr="00145F9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45F91">
        <w:rPr>
          <w:rFonts w:ascii="Times New Roman" w:hAnsi="Times New Roman"/>
          <w:color w:val="000000"/>
          <w:sz w:val="24"/>
          <w:szCs w:val="24"/>
        </w:rPr>
        <w:t>А</w:t>
      </w:r>
      <w:r w:rsidRPr="00145F9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45F91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145F9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145F91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145F91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145F91">
        <w:rPr>
          <w:rFonts w:ascii="Times New Roman" w:hAnsi="Times New Roman"/>
          <w:color w:val="000000"/>
          <w:sz w:val="24"/>
          <w:szCs w:val="24"/>
        </w:rPr>
        <w:t>Е</w:t>
      </w:r>
      <w:r w:rsidRPr="00145F9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45F91">
        <w:rPr>
          <w:rFonts w:ascii="Times New Roman" w:hAnsi="Times New Roman"/>
          <w:color w:val="000000"/>
          <w:sz w:val="24"/>
          <w:szCs w:val="24"/>
        </w:rPr>
        <w:t>Н</w:t>
      </w:r>
      <w:r w:rsidRPr="00145F9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45F91">
        <w:rPr>
          <w:rFonts w:ascii="Times New Roman" w:hAnsi="Times New Roman"/>
          <w:color w:val="000000"/>
          <w:sz w:val="24"/>
          <w:szCs w:val="24"/>
        </w:rPr>
        <w:t>Гринева</w:t>
      </w:r>
      <w:r w:rsidRPr="00145F9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145F91">
        <w:rPr>
          <w:rFonts w:ascii="Times New Roman" w:hAnsi="Times New Roman"/>
          <w:color w:val="000000"/>
          <w:sz w:val="24"/>
          <w:szCs w:val="24"/>
        </w:rPr>
        <w:t>Е</w:t>
      </w:r>
      <w:r w:rsidRPr="00145F9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45F91">
        <w:rPr>
          <w:rFonts w:ascii="Times New Roman" w:hAnsi="Times New Roman"/>
          <w:color w:val="000000"/>
          <w:sz w:val="24"/>
          <w:szCs w:val="24"/>
        </w:rPr>
        <w:t>И</w:t>
      </w:r>
      <w:r w:rsidRPr="00145F9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45F91">
        <w:rPr>
          <w:rFonts w:ascii="Times New Roman" w:hAnsi="Times New Roman"/>
          <w:color w:val="000000"/>
          <w:sz w:val="24"/>
          <w:szCs w:val="24"/>
        </w:rPr>
        <w:t>Марова</w:t>
      </w:r>
      <w:r w:rsidRPr="00145F91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therary of endocrine system and metabolic disorders: a guidebook for medical practitioners/ I.I. Dedov, G.A. Melnichenko. - </w:t>
      </w:r>
      <w:r w:rsidRPr="00145F91">
        <w:rPr>
          <w:rFonts w:ascii="Times New Roman" w:hAnsi="Times New Roman"/>
          <w:color w:val="000000"/>
          <w:sz w:val="24"/>
          <w:szCs w:val="24"/>
        </w:rPr>
        <w:t>М</w:t>
      </w:r>
      <w:r w:rsidRPr="00145F91">
        <w:rPr>
          <w:rFonts w:ascii="Times New Roman" w:hAnsi="Times New Roman"/>
          <w:color w:val="000000"/>
          <w:sz w:val="24"/>
          <w:szCs w:val="24"/>
          <w:lang w:val="en-US"/>
        </w:rPr>
        <w:t xml:space="preserve">.: </w:t>
      </w:r>
      <w:r w:rsidRPr="00145F91">
        <w:rPr>
          <w:rFonts w:ascii="Times New Roman" w:hAnsi="Times New Roman"/>
          <w:color w:val="000000"/>
          <w:sz w:val="24"/>
          <w:szCs w:val="24"/>
        </w:rPr>
        <w:t>Литтерра</w:t>
      </w:r>
      <w:r w:rsidRPr="00145F91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145F91">
        <w:rPr>
          <w:rFonts w:ascii="Times New Roman" w:hAnsi="Times New Roman"/>
          <w:color w:val="000000"/>
          <w:sz w:val="24"/>
          <w:szCs w:val="24"/>
        </w:rPr>
        <w:t>с</w:t>
      </w:r>
      <w:r w:rsidRPr="00145F91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145F91">
        <w:rPr>
          <w:rFonts w:ascii="Times New Roman" w:hAnsi="Times New Roman"/>
          <w:color w:val="000000"/>
          <w:sz w:val="24"/>
          <w:szCs w:val="24"/>
        </w:rPr>
        <w:t> эндокринной сис</w:t>
      </w:r>
      <w:r w:rsidR="00145F91" w:rsidRPr="00145F91">
        <w:rPr>
          <w:rFonts w:ascii="Times New Roman" w:hAnsi="Times New Roman"/>
          <w:color w:val="000000"/>
          <w:sz w:val="24"/>
          <w:szCs w:val="24"/>
        </w:rPr>
        <w:t>темы и нарушений обмена веществ</w:t>
      </w:r>
      <w:r w:rsidRPr="00145F91">
        <w:rPr>
          <w:rFonts w:ascii="Times New Roman" w:hAnsi="Times New Roman"/>
          <w:color w:val="000000"/>
          <w:sz w:val="24"/>
          <w:szCs w:val="24"/>
        </w:rPr>
        <w:t>: compendium: научное издание/ С. Д. Арапова [и др.] ; под ред.: И. И. Дедова, Г. А. Мельниченко. - М.: Литтерра, 2008. - 582 с.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145F9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145F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145F91">
        <w:rPr>
          <w:rFonts w:ascii="Times New Roman" w:hAnsi="Times New Roman"/>
          <w:color w:val="000000"/>
          <w:sz w:val="24"/>
          <w:szCs w:val="24"/>
        </w:rPr>
        <w:t>: справочное издание/ под ред.: И. И. Дедова, Г. А. Мельниченко. - М.: Литтерра, 2007. - 301 с.: табл.. - (Библиотека врача общей практики). - (Схемы лечения). - Указатель лекарственных средств: с. 289-301. 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145F91">
        <w:rPr>
          <w:rFonts w:ascii="Times New Roman" w:hAnsi="Times New Roman"/>
          <w:color w:val="000000"/>
          <w:sz w:val="24"/>
          <w:szCs w:val="24"/>
        </w:rPr>
        <w:t>: учебник/ ред.: Дж. Е. Гриффин, С. Р. Охеда ; пер. 5-го англ. изд. : А. Н. Смирнова, О. В. Смирновой, под ред. А. С. Аметова. - М.: БИНОМ. Лаборатория знаний, 2008. - 496 с.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145F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145F91">
        <w:rPr>
          <w:rFonts w:ascii="Times New Roman" w:hAnsi="Times New Roman"/>
          <w:color w:val="000000"/>
          <w:sz w:val="24"/>
          <w:szCs w:val="24"/>
        </w:rPr>
        <w:t>: руководство для врачей/ С. Б. Шустов, Ю. Ш. Халимов, Г. Е. Труфанов. - СПб.: ЭЛБИ-СПб, 2010. - 296 с. 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Эндокринология</w:t>
      </w:r>
      <w:r w:rsidRPr="00145F91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145F91">
        <w:rPr>
          <w:rFonts w:ascii="Times New Roman" w:hAnsi="Times New Roman"/>
          <w:color w:val="000000"/>
          <w:sz w:val="24"/>
          <w:szCs w:val="24"/>
        </w:rPr>
        <w:br/>
      </w:r>
      <w:r w:rsidRPr="00145F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145F91">
        <w:rPr>
          <w:rFonts w:ascii="Times New Roman" w:hAnsi="Times New Roman"/>
          <w:color w:val="000000"/>
          <w:sz w:val="24"/>
          <w:szCs w:val="24"/>
        </w:rPr>
        <w:t>: Заболевания поджелудочной железы, паращитовидных и половых желез. - СПб.: СпецЛит, 2011. – 432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145F91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Гэотар Медиа, 2008. - 1064 с.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145F91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45F9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Эндокринология по Дэвидсону</w:t>
      </w:r>
      <w:r w:rsidRPr="00145F91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 ; пер. с англ. под ред. Г. А. Мельниченко. - М.: РИД ЭЛСИВЕР,</w:t>
      </w:r>
      <w:r w:rsidRPr="00145F9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45F9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145F91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145F91">
        <w:rPr>
          <w:rFonts w:ascii="Times New Roman" w:hAnsi="Times New Roman"/>
          <w:color w:val="000000"/>
          <w:sz w:val="24"/>
          <w:szCs w:val="24"/>
        </w:rPr>
        <w:t>: справочник практикующего врача/ Г. Шенфилд [и др.] ; науч. ред. рус. издания Г. А. Мельниченко ; пер. с англ.: А. Н. Редькин, Д. Е. Колода. - М.: Литтерра, 2005. - 381 с.</w:t>
      </w:r>
    </w:p>
    <w:p w:rsidR="0099042F" w:rsidRPr="00145F91" w:rsidRDefault="0099042F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45F91">
        <w:rPr>
          <w:rFonts w:ascii="Times New Roman" w:hAnsi="Times New Roman"/>
          <w:color w:val="000000"/>
          <w:sz w:val="24"/>
          <w:szCs w:val="24"/>
        </w:rPr>
        <w:t>Диагностический справочник эндокринолога: справочное издание/ Т. В. Гитун ; рец. Ю. Ю. Елисеев. - М.: АСТ, 2007. - 608 с. </w:t>
      </w:r>
    </w:p>
    <w:p w:rsidR="0099042F" w:rsidRPr="00145F91" w:rsidRDefault="0099042F" w:rsidP="00E2620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9042F" w:rsidRPr="00145F91" w:rsidRDefault="0099042F" w:rsidP="004B1172">
      <w:pPr>
        <w:jc w:val="both"/>
        <w:rPr>
          <w:rFonts w:ascii="Times New Roman" w:hAnsi="Times New Roman"/>
          <w:sz w:val="24"/>
          <w:szCs w:val="24"/>
        </w:rPr>
      </w:pPr>
    </w:p>
    <w:sectPr w:rsidR="0099042F" w:rsidRPr="00145F9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5B7" w:rsidRDefault="006705B7" w:rsidP="006B3110">
      <w:pPr>
        <w:spacing w:after="0" w:line="240" w:lineRule="auto"/>
      </w:pPr>
      <w:r>
        <w:separator/>
      </w:r>
    </w:p>
  </w:endnote>
  <w:endnote w:type="continuationSeparator" w:id="0">
    <w:p w:rsidR="006705B7" w:rsidRDefault="006705B7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5B7" w:rsidRDefault="006705B7" w:rsidP="006B3110">
      <w:pPr>
        <w:spacing w:after="0" w:line="240" w:lineRule="auto"/>
      </w:pPr>
      <w:r>
        <w:separator/>
      </w:r>
    </w:p>
  </w:footnote>
  <w:footnote w:type="continuationSeparator" w:id="0">
    <w:p w:rsidR="006705B7" w:rsidRDefault="006705B7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E2FAC"/>
    <w:multiLevelType w:val="hybridMultilevel"/>
    <w:tmpl w:val="A36603BA"/>
    <w:lvl w:ilvl="0" w:tplc="F440F64E">
      <w:start w:val="8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78A3568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7166B0"/>
    <w:multiLevelType w:val="hybridMultilevel"/>
    <w:tmpl w:val="C6E86ADC"/>
    <w:lvl w:ilvl="0" w:tplc="11DEF51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2DB77ACA"/>
    <w:multiLevelType w:val="hybridMultilevel"/>
    <w:tmpl w:val="D6E0DE48"/>
    <w:lvl w:ilvl="0" w:tplc="F612B442">
      <w:start w:val="1"/>
      <w:numFmt w:val="decimal"/>
      <w:lvlText w:val="%1."/>
      <w:lvlJc w:val="left"/>
      <w:pPr>
        <w:ind w:left="1800" w:hanging="360"/>
      </w:pPr>
      <w:rPr>
        <w:rFonts w:ascii="Calibri" w:eastAsia="Times New Roman" w:hAnsi="Calibri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65A215D"/>
    <w:multiLevelType w:val="hybridMultilevel"/>
    <w:tmpl w:val="1EBA04FE"/>
    <w:lvl w:ilvl="0" w:tplc="CBA0429E">
      <w:start w:val="8"/>
      <w:numFmt w:val="decimal"/>
      <w:lvlText w:val="%1."/>
      <w:lvlJc w:val="left"/>
      <w:pPr>
        <w:ind w:left="180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8" w15:restartNumberingAfterBreak="0">
    <w:nsid w:val="5CCA72F6"/>
    <w:multiLevelType w:val="hybridMultilevel"/>
    <w:tmpl w:val="4BE88EF8"/>
    <w:lvl w:ilvl="0" w:tplc="398642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5FCC6B0C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0C126AE"/>
    <w:multiLevelType w:val="hybridMultilevel"/>
    <w:tmpl w:val="53C8A28E"/>
    <w:lvl w:ilvl="0" w:tplc="93D4903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3"/>
  </w:num>
  <w:num w:numId="4">
    <w:abstractNumId w:val="1"/>
  </w:num>
  <w:num w:numId="5">
    <w:abstractNumId w:val="12"/>
  </w:num>
  <w:num w:numId="6">
    <w:abstractNumId w:val="11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  <w:num w:numId="11">
    <w:abstractNumId w:val="10"/>
  </w:num>
  <w:num w:numId="12">
    <w:abstractNumId w:val="2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60183"/>
    <w:rsid w:val="000B3847"/>
    <w:rsid w:val="00106FB0"/>
    <w:rsid w:val="00115763"/>
    <w:rsid w:val="0012240E"/>
    <w:rsid w:val="00145F91"/>
    <w:rsid w:val="00221952"/>
    <w:rsid w:val="002234FE"/>
    <w:rsid w:val="002B593B"/>
    <w:rsid w:val="002D0F77"/>
    <w:rsid w:val="00384FAE"/>
    <w:rsid w:val="0041113A"/>
    <w:rsid w:val="00475020"/>
    <w:rsid w:val="004B1172"/>
    <w:rsid w:val="004E54B7"/>
    <w:rsid w:val="005B54FE"/>
    <w:rsid w:val="00615348"/>
    <w:rsid w:val="00625BF9"/>
    <w:rsid w:val="00667A71"/>
    <w:rsid w:val="006705B7"/>
    <w:rsid w:val="006B3110"/>
    <w:rsid w:val="007648AB"/>
    <w:rsid w:val="00787F16"/>
    <w:rsid w:val="007A592A"/>
    <w:rsid w:val="007C7B0D"/>
    <w:rsid w:val="00844036"/>
    <w:rsid w:val="00873C72"/>
    <w:rsid w:val="008B4F25"/>
    <w:rsid w:val="00924C2B"/>
    <w:rsid w:val="00944E21"/>
    <w:rsid w:val="0099042F"/>
    <w:rsid w:val="009F026F"/>
    <w:rsid w:val="00A17B2B"/>
    <w:rsid w:val="00A561C6"/>
    <w:rsid w:val="00B12A79"/>
    <w:rsid w:val="00C00498"/>
    <w:rsid w:val="00C844AA"/>
    <w:rsid w:val="00CD3515"/>
    <w:rsid w:val="00D24D76"/>
    <w:rsid w:val="00D93300"/>
    <w:rsid w:val="00DF5755"/>
    <w:rsid w:val="00E25159"/>
    <w:rsid w:val="00E26201"/>
    <w:rsid w:val="00E53647"/>
    <w:rsid w:val="00EB4E1D"/>
    <w:rsid w:val="00F94652"/>
    <w:rsid w:val="00FB0E12"/>
    <w:rsid w:val="00FC2825"/>
    <w:rsid w:val="00FD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E4A1E62-1387-47EC-A15D-B892FA281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2018-11-26T15:51:00Z</dcterms:created>
  <dcterms:modified xsi:type="dcterms:W3CDTF">2018-11-26T15:51:00Z</dcterms:modified>
</cp:coreProperties>
</file>